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5A5D" w14:textId="77777777" w:rsidR="00793A52" w:rsidRPr="004916A7" w:rsidRDefault="00793A52" w:rsidP="00793A52">
      <w:pPr>
        <w:ind w:left="284"/>
        <w:rPr>
          <w:b/>
          <w:bCs/>
          <w:sz w:val="28"/>
          <w:szCs w:val="28"/>
          <w:u w:val="single"/>
          <w:lang w:val="fr-FR"/>
        </w:rPr>
      </w:pPr>
      <w:r w:rsidRPr="004916A7">
        <w:rPr>
          <w:b/>
          <w:bCs/>
          <w:sz w:val="28"/>
          <w:szCs w:val="28"/>
          <w:u w:val="single"/>
          <w:lang w:val="fr-FR"/>
        </w:rPr>
        <w:t>DDHC - Déclaration des Droits de l’Homme et du Citoyen (</w:t>
      </w:r>
      <w:r>
        <w:rPr>
          <w:b/>
          <w:bCs/>
          <w:sz w:val="28"/>
          <w:szCs w:val="28"/>
          <w:u w:val="single"/>
          <w:lang w:val="fr-FR"/>
        </w:rPr>
        <w:t xml:space="preserve">France, </w:t>
      </w:r>
      <w:r w:rsidRPr="004916A7">
        <w:rPr>
          <w:b/>
          <w:bCs/>
          <w:sz w:val="28"/>
          <w:szCs w:val="28"/>
          <w:u w:val="single"/>
          <w:lang w:val="fr-FR"/>
        </w:rPr>
        <w:t>26/08/1789)</w:t>
      </w:r>
    </w:p>
    <w:p w14:paraId="1F144B27" w14:textId="77777777" w:rsidR="00793A52" w:rsidRPr="00EC5311" w:rsidRDefault="00793A52" w:rsidP="00793A52">
      <w:pPr>
        <w:spacing w:after="0"/>
        <w:ind w:left="360"/>
        <w:rPr>
          <w:i/>
          <w:iCs/>
          <w:color w:val="385623" w:themeColor="accent6" w:themeShade="80"/>
          <w:lang w:val="fr-FR"/>
        </w:rPr>
      </w:pPr>
    </w:p>
    <w:p w14:paraId="6893CA44" w14:textId="77777777" w:rsidR="00793A52" w:rsidRDefault="00793A52" w:rsidP="00793A52">
      <w:pPr>
        <w:rPr>
          <w:lang w:val="fr-FR"/>
        </w:rPr>
      </w:pPr>
      <w:r>
        <w:rPr>
          <w:lang w:val="fr-FR"/>
        </w:rPr>
        <w:t xml:space="preserve">Valeur juridique : comme indiqué dans le « Précis de méthodologie juridique, publications des facultés universitaires Saint-Louis, 2000 », </w:t>
      </w:r>
      <w:r w:rsidRPr="005277C9">
        <w:rPr>
          <w:lang w:val="fr-FR"/>
        </w:rPr>
        <w:t>Chapitre I, Section 1, §10</w:t>
      </w:r>
      <w:r>
        <w:rPr>
          <w:lang w:val="fr-FR"/>
        </w:rPr>
        <w:t> </w:t>
      </w:r>
    </w:p>
    <w:p w14:paraId="08C38E43" w14:textId="77777777" w:rsidR="00793A52" w:rsidRPr="006202EB" w:rsidRDefault="00793A52" w:rsidP="00793A52">
      <w:pPr>
        <w:ind w:left="567"/>
        <w:rPr>
          <w:i/>
          <w:iCs/>
          <w:sz w:val="20"/>
          <w:szCs w:val="20"/>
          <w:u w:val="single"/>
          <w:lang w:val="fr-FR"/>
        </w:rPr>
      </w:pPr>
      <w:r w:rsidRPr="006202EB">
        <w:rPr>
          <w:i/>
          <w:iCs/>
          <w:sz w:val="20"/>
          <w:szCs w:val="20"/>
          <w:u w:val="single"/>
          <w:lang w:val="fr-FR"/>
        </w:rPr>
        <w:t>«</w:t>
      </w:r>
      <w:r>
        <w:rPr>
          <w:i/>
          <w:iCs/>
          <w:sz w:val="20"/>
          <w:szCs w:val="20"/>
          <w:u w:val="single"/>
          <w:lang w:val="fr-FR"/>
        </w:rPr>
        <w:t xml:space="preserve"> </w:t>
      </w:r>
      <w:r w:rsidRPr="006202EB">
        <w:rPr>
          <w:i/>
          <w:iCs/>
          <w:sz w:val="20"/>
          <w:szCs w:val="20"/>
          <w:u w:val="single"/>
          <w:lang w:val="fr-FR"/>
        </w:rPr>
        <w:t>Rappelons, enfin, que notre ordre juridique contient des normes édictées avant la création de l'État belge et qui n’ont, jusqu'à présent, été abrogées ni expressément ni implicitement.</w:t>
      </w:r>
      <w:r>
        <w:rPr>
          <w:i/>
          <w:iCs/>
          <w:sz w:val="20"/>
          <w:szCs w:val="20"/>
          <w:u w:val="single"/>
          <w:lang w:val="fr-FR"/>
        </w:rPr>
        <w:t> »</w:t>
      </w:r>
    </w:p>
    <w:p w14:paraId="513567F8" w14:textId="77777777" w:rsidR="00793A52" w:rsidRPr="005277C9" w:rsidRDefault="00793A52" w:rsidP="00793A52">
      <w:pPr>
        <w:spacing w:after="0"/>
        <w:ind w:left="567"/>
        <w:rPr>
          <w:i/>
          <w:iCs/>
          <w:sz w:val="20"/>
          <w:szCs w:val="20"/>
          <w:lang w:val="fr-FR"/>
        </w:rPr>
      </w:pPr>
      <w:r>
        <w:rPr>
          <w:i/>
          <w:iCs/>
          <w:sz w:val="20"/>
          <w:szCs w:val="20"/>
          <w:lang w:val="fr-FR"/>
        </w:rPr>
        <w:t>« </w:t>
      </w:r>
      <w:r w:rsidRPr="004C444D">
        <w:rPr>
          <w:i/>
          <w:iCs/>
          <w:sz w:val="20"/>
          <w:szCs w:val="20"/>
          <w:lang w:val="fr-FR"/>
        </w:rPr>
        <w:t>Le texte le plus ancien encore en vigueur en droit belge est la Paix de Saint-Jacques du 5 avril 1487. Ce règlement « approuvé avec force de loi » le 28 avril 1487 par Jean de Horn, Prince de Liège, concerne les</w:t>
      </w:r>
      <w:r w:rsidRPr="004C444D">
        <w:rPr>
          <w:sz w:val="20"/>
          <w:szCs w:val="20"/>
          <w:lang w:val="fr-FR"/>
        </w:rPr>
        <w:t> </w:t>
      </w:r>
      <w:proofErr w:type="spellStart"/>
      <w:r w:rsidRPr="004C444D">
        <w:rPr>
          <w:sz w:val="20"/>
          <w:szCs w:val="20"/>
          <w:lang w:val="fr-FR"/>
        </w:rPr>
        <w:t>areines</w:t>
      </w:r>
      <w:proofErr w:type="spellEnd"/>
      <w:r w:rsidRPr="004C444D">
        <w:rPr>
          <w:i/>
          <w:iCs/>
          <w:sz w:val="20"/>
          <w:szCs w:val="20"/>
          <w:lang w:val="fr-FR"/>
        </w:rPr>
        <w:t xml:space="preserve"> (galeries d'écoulement pratiquées pour assécher les travaux des mines). Vient ensuite l'édit de Charles-Quint du 10 décembre 1547 relatif aux épaves. </w:t>
      </w:r>
      <w:r w:rsidRPr="00F82BD5">
        <w:rPr>
          <w:i/>
          <w:iCs/>
          <w:sz w:val="20"/>
          <w:szCs w:val="20"/>
          <w:u w:val="single"/>
          <w:lang w:val="fr-FR"/>
        </w:rPr>
        <w:t>Plus nombreuses sont les dispositions datant des époques française et hollandaise</w:t>
      </w:r>
      <w:r w:rsidRPr="004C444D">
        <w:rPr>
          <w:i/>
          <w:iCs/>
          <w:sz w:val="20"/>
          <w:szCs w:val="20"/>
          <w:lang w:val="fr-FR"/>
        </w:rPr>
        <w:t>.</w:t>
      </w:r>
      <w:r>
        <w:rPr>
          <w:i/>
          <w:iCs/>
          <w:sz w:val="20"/>
          <w:szCs w:val="20"/>
          <w:lang w:val="fr-FR"/>
        </w:rPr>
        <w:t xml:space="preserve"> </w:t>
      </w:r>
      <w:r w:rsidRPr="004C444D">
        <w:rPr>
          <w:i/>
          <w:iCs/>
          <w:sz w:val="20"/>
          <w:szCs w:val="20"/>
          <w:lang w:val="fr-FR"/>
        </w:rPr>
        <w:t>Il convient d'être particulièrement attentif au fait que l'intensité de la force obligatoire de ces textes est celle que leur reconnaissait l'ordre juridique dans lequel ils sont nés</w:t>
      </w:r>
      <w:proofErr w:type="gramStart"/>
      <w:r w:rsidRPr="004C444D">
        <w:rPr>
          <w:i/>
          <w:iCs/>
          <w:sz w:val="20"/>
          <w:szCs w:val="20"/>
          <w:lang w:val="fr-FR"/>
        </w:rPr>
        <w:t>.</w:t>
      </w:r>
      <w:r>
        <w:rPr>
          <w:i/>
          <w:iCs/>
          <w:sz w:val="20"/>
          <w:szCs w:val="20"/>
          <w:lang w:val="fr-FR"/>
        </w:rPr>
        <w:t>»</w:t>
      </w:r>
      <w:proofErr w:type="gramEnd"/>
    </w:p>
    <w:p w14:paraId="08E287D0" w14:textId="77777777" w:rsidR="00793A52" w:rsidRDefault="00793A52" w:rsidP="00793A52">
      <w:pPr>
        <w:spacing w:after="0"/>
        <w:rPr>
          <w:lang w:val="fr-FR"/>
        </w:rPr>
      </w:pPr>
    </w:p>
    <w:p w14:paraId="7580ED8F" w14:textId="77777777" w:rsidR="00793A52" w:rsidRPr="005E56D9" w:rsidRDefault="00793A52" w:rsidP="00793A52">
      <w:pPr>
        <w:spacing w:after="0"/>
        <w:rPr>
          <w:b/>
          <w:bCs/>
          <w:u w:val="single"/>
          <w:lang w:val="fr-FR"/>
        </w:rPr>
      </w:pPr>
      <w:r w:rsidRPr="005E56D9">
        <w:rPr>
          <w:b/>
          <w:bCs/>
          <w:u w:val="single"/>
          <w:lang w:val="fr-FR"/>
        </w:rPr>
        <w:t>Résumé de l’histoire de Belgique avant 1831</w:t>
      </w:r>
    </w:p>
    <w:p w14:paraId="6E266D39" w14:textId="77777777" w:rsidR="00793A52" w:rsidRDefault="00793A52" w:rsidP="00793A52">
      <w:pPr>
        <w:spacing w:after="0"/>
        <w:rPr>
          <w:lang w:val="fr-FR"/>
        </w:rPr>
      </w:pPr>
      <w:r>
        <w:rPr>
          <w:lang w:val="fr-FR"/>
        </w:rPr>
        <w:t xml:space="preserve">(Voir histoire complète ici : </w:t>
      </w:r>
      <w:hyperlink r:id="rId5" w:history="1">
        <w:r w:rsidRPr="000F2894">
          <w:rPr>
            <w:rStyle w:val="Lienhypertexte"/>
            <w:lang w:val="fr-FR"/>
          </w:rPr>
          <w:t>https://fr.wikipedia.org/wiki/Histoire_de_la_Belgique</w:t>
        </w:r>
      </w:hyperlink>
      <w:r>
        <w:rPr>
          <w:lang w:val="fr-FR"/>
        </w:rPr>
        <w:t>)</w:t>
      </w:r>
    </w:p>
    <w:p w14:paraId="533921A9" w14:textId="77777777" w:rsidR="00793A52" w:rsidRDefault="00793A52" w:rsidP="00793A52">
      <w:pPr>
        <w:spacing w:after="0"/>
        <w:rPr>
          <w:lang w:val="fr-FR"/>
        </w:rPr>
      </w:pPr>
    </w:p>
    <w:p w14:paraId="51CD3745" w14:textId="77777777" w:rsidR="00793A52" w:rsidRDefault="00793A52" w:rsidP="00793A52">
      <w:pPr>
        <w:pStyle w:val="Titre2"/>
        <w:spacing w:before="0" w:beforeAutospacing="0" w:after="0" w:afterAutospacing="0"/>
        <w:rPr>
          <w:rFonts w:asciiTheme="minorHAnsi" w:eastAsiaTheme="minorHAnsi" w:hAnsiTheme="minorHAnsi" w:cstheme="minorBidi"/>
          <w:b w:val="0"/>
          <w:bCs w:val="0"/>
          <w:sz w:val="22"/>
          <w:szCs w:val="22"/>
          <w:lang w:val="fr-FR" w:eastAsia="en-US"/>
        </w:rPr>
      </w:pPr>
      <w:r>
        <w:rPr>
          <w:rFonts w:asciiTheme="minorHAnsi" w:eastAsiaTheme="minorHAnsi" w:hAnsiTheme="minorHAnsi" w:cstheme="minorBidi"/>
          <w:b w:val="0"/>
          <w:bCs w:val="0"/>
          <w:sz w:val="22"/>
          <w:szCs w:val="22"/>
          <w:lang w:val="fr-FR" w:eastAsia="en-US"/>
        </w:rPr>
        <w:t>Lorsqu’en 1797 le roi de Hongrie cède le territoire de la Belgique à la République française, il me semble clair que les lois françaises (dont la DDHC) deviennent juridiquement applicables sur notre territoire et que la DDHC n’a été ni expressément ni implicitement abrogées depuis…</w:t>
      </w:r>
    </w:p>
    <w:p w14:paraId="48CE3AF7" w14:textId="77777777" w:rsidR="00793A52" w:rsidRDefault="00793A52" w:rsidP="00793A52">
      <w:pPr>
        <w:pStyle w:val="Titre2"/>
        <w:spacing w:before="0" w:beforeAutospacing="0" w:after="0" w:afterAutospacing="0"/>
        <w:rPr>
          <w:rFonts w:asciiTheme="minorHAnsi" w:eastAsiaTheme="minorHAnsi" w:hAnsiTheme="minorHAnsi" w:cstheme="minorBidi"/>
          <w:b w:val="0"/>
          <w:bCs w:val="0"/>
          <w:sz w:val="22"/>
          <w:szCs w:val="22"/>
          <w:lang w:val="fr-FR" w:eastAsia="en-US"/>
        </w:rPr>
      </w:pPr>
      <w:r>
        <w:rPr>
          <w:rFonts w:asciiTheme="minorHAnsi" w:eastAsiaTheme="minorHAnsi" w:hAnsiTheme="minorHAnsi" w:cstheme="minorBidi"/>
          <w:b w:val="0"/>
          <w:bCs w:val="0"/>
          <w:sz w:val="22"/>
          <w:szCs w:val="22"/>
          <w:lang w:val="fr-FR" w:eastAsia="en-US"/>
        </w:rPr>
        <w:t>[NDLR : j’ai regardé du point de vue où j’habite, hors de la principauté de Liège. Veuillez noter que le territoire de la Principauté de Liège a eu un parcours quelque peu différent avant les grandes révolutions de 1789…]</w:t>
      </w:r>
    </w:p>
    <w:p w14:paraId="2AB8FAF6" w14:textId="77777777" w:rsidR="00793A52" w:rsidRDefault="00793A52" w:rsidP="00793A52">
      <w:pPr>
        <w:pStyle w:val="Titre2"/>
        <w:spacing w:before="0" w:beforeAutospacing="0" w:after="0" w:afterAutospacing="0"/>
        <w:rPr>
          <w:rFonts w:asciiTheme="minorHAnsi" w:eastAsiaTheme="minorHAnsi" w:hAnsiTheme="minorHAnsi" w:cstheme="minorBidi"/>
          <w:b w:val="0"/>
          <w:bCs w:val="0"/>
          <w:sz w:val="22"/>
          <w:szCs w:val="22"/>
          <w:lang w:val="fr-FR" w:eastAsia="en-US"/>
        </w:rPr>
      </w:pPr>
    </w:p>
    <w:p w14:paraId="1580720E" w14:textId="77777777" w:rsidR="00793A52" w:rsidRDefault="00793A52" w:rsidP="00793A52">
      <w:pPr>
        <w:pStyle w:val="Titre2"/>
        <w:spacing w:before="0" w:beforeAutospacing="0" w:after="0" w:afterAutospacing="0"/>
        <w:ind w:left="567"/>
        <w:rPr>
          <w:rFonts w:asciiTheme="minorHAnsi" w:eastAsiaTheme="minorHAnsi" w:hAnsiTheme="minorHAnsi" w:cstheme="minorBidi"/>
          <w:b w:val="0"/>
          <w:bCs w:val="0"/>
          <w:sz w:val="22"/>
          <w:szCs w:val="22"/>
          <w:lang w:val="fr-FR" w:eastAsia="en-US"/>
        </w:rPr>
      </w:pPr>
      <w:r w:rsidRPr="00965F4D">
        <w:rPr>
          <w:rFonts w:asciiTheme="minorHAnsi" w:eastAsiaTheme="minorHAnsi" w:hAnsiTheme="minorHAnsi" w:cstheme="minorBidi"/>
          <w:b w:val="0"/>
          <w:bCs w:val="0"/>
          <w:sz w:val="22"/>
          <w:szCs w:val="22"/>
          <w:lang w:val="fr-FR" w:eastAsia="en-US"/>
        </w:rPr>
        <w:t xml:space="preserve">1549-1715 : </w:t>
      </w:r>
      <w:r>
        <w:rPr>
          <w:rFonts w:asciiTheme="minorHAnsi" w:eastAsiaTheme="minorHAnsi" w:hAnsiTheme="minorHAnsi" w:cstheme="minorBidi"/>
          <w:b w:val="0"/>
          <w:bCs w:val="0"/>
          <w:sz w:val="22"/>
          <w:szCs w:val="22"/>
          <w:lang w:val="fr-FR" w:eastAsia="en-US"/>
        </w:rPr>
        <w:tab/>
      </w:r>
      <w:hyperlink r:id="rId6" w:history="1">
        <w:r w:rsidRPr="004C444D">
          <w:rPr>
            <w:rStyle w:val="Lienhypertexte"/>
            <w:rFonts w:asciiTheme="minorHAnsi" w:eastAsiaTheme="minorHAnsi" w:hAnsiTheme="minorHAnsi" w:cstheme="minorBidi"/>
            <w:b w:val="0"/>
            <w:bCs w:val="0"/>
            <w:sz w:val="22"/>
            <w:szCs w:val="22"/>
            <w:lang w:eastAsia="en-US"/>
          </w:rPr>
          <w:t>Pays-Bas espagnols</w:t>
        </w:r>
      </w:hyperlink>
    </w:p>
    <w:p w14:paraId="7BA44FE2" w14:textId="77777777" w:rsidR="00793A52" w:rsidRDefault="00793A52" w:rsidP="00793A52">
      <w:pPr>
        <w:pStyle w:val="Titre2"/>
        <w:spacing w:before="0" w:beforeAutospacing="0" w:after="0" w:afterAutospacing="0"/>
        <w:ind w:left="567"/>
        <w:rPr>
          <w:rFonts w:asciiTheme="minorHAnsi" w:eastAsiaTheme="minorHAnsi" w:hAnsiTheme="minorHAnsi" w:cstheme="minorBidi"/>
          <w:b w:val="0"/>
          <w:bCs w:val="0"/>
          <w:sz w:val="22"/>
          <w:szCs w:val="22"/>
          <w:lang w:val="fr-FR" w:eastAsia="en-US"/>
        </w:rPr>
      </w:pPr>
      <w:r>
        <w:rPr>
          <w:rFonts w:asciiTheme="minorHAnsi" w:eastAsiaTheme="minorHAnsi" w:hAnsiTheme="minorHAnsi" w:cstheme="minorBidi"/>
          <w:b w:val="0"/>
          <w:bCs w:val="0"/>
          <w:sz w:val="22"/>
          <w:szCs w:val="22"/>
          <w:lang w:val="fr-FR" w:eastAsia="en-US"/>
        </w:rPr>
        <w:t xml:space="preserve">1715-1792 : </w:t>
      </w:r>
      <w:r>
        <w:rPr>
          <w:rFonts w:asciiTheme="minorHAnsi" w:eastAsiaTheme="minorHAnsi" w:hAnsiTheme="minorHAnsi" w:cstheme="minorBidi"/>
          <w:b w:val="0"/>
          <w:bCs w:val="0"/>
          <w:sz w:val="22"/>
          <w:szCs w:val="22"/>
          <w:lang w:val="fr-FR" w:eastAsia="en-US"/>
        </w:rPr>
        <w:tab/>
      </w:r>
      <w:hyperlink r:id="rId7" w:history="1">
        <w:r w:rsidRPr="004C444D">
          <w:rPr>
            <w:rStyle w:val="Lienhypertexte"/>
            <w:rFonts w:asciiTheme="minorHAnsi" w:eastAsiaTheme="minorHAnsi" w:hAnsiTheme="minorHAnsi" w:cstheme="minorBidi"/>
            <w:b w:val="0"/>
            <w:bCs w:val="0"/>
            <w:sz w:val="22"/>
            <w:szCs w:val="22"/>
            <w:lang w:eastAsia="en-US"/>
          </w:rPr>
          <w:t>Pays-Bas autrichiens</w:t>
        </w:r>
      </w:hyperlink>
    </w:p>
    <w:p w14:paraId="69999845" w14:textId="77777777" w:rsidR="00793A52" w:rsidRPr="004916A7" w:rsidRDefault="00793A52" w:rsidP="00793A52">
      <w:pPr>
        <w:spacing w:after="0"/>
        <w:ind w:left="2124" w:hanging="1557"/>
        <w:rPr>
          <w:lang w:val="fr-FR"/>
        </w:rPr>
      </w:pPr>
      <w:r>
        <w:t xml:space="preserve">1789-1790 : </w:t>
      </w:r>
      <w:r>
        <w:tab/>
        <w:t xml:space="preserve">Les </w:t>
      </w:r>
      <w:hyperlink r:id="rId8" w:tooltip="Pays-Bas autrichiens" w:history="1">
        <w:r>
          <w:rPr>
            <w:rStyle w:val="Lienhypertexte"/>
          </w:rPr>
          <w:t>Pays-Bas autrichiens</w:t>
        </w:r>
      </w:hyperlink>
      <w:r>
        <w:t xml:space="preserve"> et la </w:t>
      </w:r>
      <w:hyperlink r:id="rId9" w:tooltip="Principauté de Liège" w:history="1">
        <w:r>
          <w:rPr>
            <w:rStyle w:val="Lienhypertexte"/>
          </w:rPr>
          <w:t>Principauté de Liège</w:t>
        </w:r>
      </w:hyperlink>
      <w:r>
        <w:t xml:space="preserve"> se soulèvent contre leurs souverains respectifs. (</w:t>
      </w:r>
      <w:r>
        <w:rPr>
          <w:lang w:val="fr-FR"/>
        </w:rPr>
        <w:t>Révolution liégeoise et révolution brabançonne)</w:t>
      </w:r>
    </w:p>
    <w:p w14:paraId="447382FB" w14:textId="77777777" w:rsidR="00793A52" w:rsidRPr="0050513F" w:rsidRDefault="00793A52" w:rsidP="00793A52">
      <w:pPr>
        <w:pStyle w:val="Titre2"/>
        <w:spacing w:before="0" w:beforeAutospacing="0" w:after="0" w:afterAutospacing="0"/>
        <w:ind w:left="567"/>
        <w:rPr>
          <w:rFonts w:asciiTheme="minorHAnsi" w:eastAsiaTheme="minorHAnsi" w:hAnsiTheme="minorHAnsi" w:cstheme="minorBidi"/>
          <w:sz w:val="20"/>
          <w:szCs w:val="20"/>
          <w:u w:val="single"/>
          <w:lang w:val="fr-FR" w:eastAsia="en-US"/>
        </w:rPr>
      </w:pPr>
      <w:r w:rsidRPr="0050513F">
        <w:rPr>
          <w:rFonts w:asciiTheme="minorHAnsi" w:eastAsiaTheme="minorHAnsi" w:hAnsiTheme="minorHAnsi" w:cstheme="minorBidi"/>
          <w:sz w:val="22"/>
          <w:szCs w:val="22"/>
          <w:u w:val="single"/>
          <w:lang w:val="fr-FR" w:eastAsia="en-US"/>
        </w:rPr>
        <w:t>179</w:t>
      </w:r>
      <w:r>
        <w:rPr>
          <w:rFonts w:asciiTheme="minorHAnsi" w:eastAsiaTheme="minorHAnsi" w:hAnsiTheme="minorHAnsi" w:cstheme="minorBidi"/>
          <w:sz w:val="22"/>
          <w:szCs w:val="22"/>
          <w:u w:val="single"/>
          <w:lang w:val="fr-FR" w:eastAsia="en-US"/>
        </w:rPr>
        <w:t>2</w:t>
      </w:r>
      <w:r w:rsidRPr="0050513F">
        <w:rPr>
          <w:rFonts w:asciiTheme="minorHAnsi" w:eastAsiaTheme="minorHAnsi" w:hAnsiTheme="minorHAnsi" w:cstheme="minorBidi"/>
          <w:sz w:val="22"/>
          <w:szCs w:val="22"/>
          <w:u w:val="single"/>
          <w:lang w:val="fr-FR" w:eastAsia="en-US"/>
        </w:rPr>
        <w:t xml:space="preserve">-1814 : </w:t>
      </w:r>
      <w:r w:rsidRPr="0050513F">
        <w:rPr>
          <w:rFonts w:asciiTheme="minorHAnsi" w:eastAsiaTheme="minorHAnsi" w:hAnsiTheme="minorHAnsi" w:cstheme="minorBidi"/>
          <w:sz w:val="22"/>
          <w:szCs w:val="22"/>
          <w:u w:val="single"/>
          <w:lang w:val="fr-FR" w:eastAsia="en-US"/>
        </w:rPr>
        <w:tab/>
      </w:r>
      <w:hyperlink r:id="rId10" w:history="1">
        <w:r w:rsidRPr="0050513F">
          <w:rPr>
            <w:rStyle w:val="Lienhypertexte"/>
            <w:rFonts w:asciiTheme="minorHAnsi" w:eastAsiaTheme="minorHAnsi" w:hAnsiTheme="minorHAnsi" w:cstheme="minorBidi"/>
            <w:sz w:val="22"/>
            <w:szCs w:val="22"/>
            <w:lang w:eastAsia="en-US"/>
          </w:rPr>
          <w:t>Période française de l'histoire de Belgique</w:t>
        </w:r>
      </w:hyperlink>
    </w:p>
    <w:p w14:paraId="1E74B0F3" w14:textId="77777777" w:rsidR="00793A52" w:rsidRPr="00F04F9A" w:rsidRDefault="00793A52" w:rsidP="00793A52">
      <w:pPr>
        <w:pStyle w:val="NormalWeb"/>
        <w:spacing w:after="0" w:afterAutospacing="0"/>
        <w:ind w:left="851"/>
        <w:rPr>
          <w:rStyle w:val="reference-text"/>
          <w:b/>
          <w:bCs/>
          <w:i/>
          <w:iCs/>
          <w:sz w:val="18"/>
          <w:szCs w:val="18"/>
        </w:rPr>
      </w:pPr>
      <w:r w:rsidRPr="00F04F9A">
        <w:rPr>
          <w:rStyle w:val="reference-text"/>
          <w:b/>
          <w:bCs/>
          <w:i/>
          <w:iCs/>
          <w:sz w:val="18"/>
          <w:szCs w:val="18"/>
        </w:rPr>
        <w:t xml:space="preserve">La période française que connurent les territoires qui forment actuellement la </w:t>
      </w:r>
      <w:hyperlink r:id="rId11" w:tooltip="Belgique" w:history="1">
        <w:r w:rsidRPr="00F04F9A">
          <w:rPr>
            <w:rStyle w:val="reference-text"/>
            <w:b/>
            <w:bCs/>
            <w:i/>
            <w:iCs/>
            <w:sz w:val="18"/>
            <w:szCs w:val="18"/>
          </w:rPr>
          <w:t>Belgique</w:t>
        </w:r>
      </w:hyperlink>
      <w:r w:rsidRPr="00F04F9A">
        <w:rPr>
          <w:rStyle w:val="reference-text"/>
          <w:b/>
          <w:bCs/>
          <w:i/>
          <w:iCs/>
          <w:sz w:val="18"/>
          <w:szCs w:val="18"/>
        </w:rPr>
        <w:t xml:space="preserve"> est une époque charnière dans l’histoire de ce pays : </w:t>
      </w:r>
    </w:p>
    <w:p w14:paraId="7DB524FA" w14:textId="77777777" w:rsidR="00793A52" w:rsidRPr="00F04F9A" w:rsidRDefault="00793A52" w:rsidP="00793A52">
      <w:pPr>
        <w:pStyle w:val="NormalWeb"/>
        <w:spacing w:before="0" w:beforeAutospacing="0" w:after="0" w:afterAutospacing="0"/>
        <w:ind w:left="851"/>
        <w:rPr>
          <w:rStyle w:val="reference-text"/>
          <w:b/>
          <w:bCs/>
          <w:i/>
          <w:iCs/>
          <w:sz w:val="18"/>
          <w:szCs w:val="18"/>
        </w:rPr>
      </w:pPr>
      <w:r w:rsidRPr="00F04F9A">
        <w:rPr>
          <w:rStyle w:val="reference-text"/>
          <w:b/>
          <w:bCs/>
          <w:i/>
          <w:iCs/>
          <w:sz w:val="18"/>
          <w:szCs w:val="18"/>
        </w:rPr>
        <w:t xml:space="preserve">« Elle consacre, en effet, la fin des privilèges et du régime seigneurial, </w:t>
      </w:r>
      <w:r w:rsidRPr="00F04F9A">
        <w:rPr>
          <w:rStyle w:val="reference-text"/>
          <w:b/>
          <w:bCs/>
          <w:i/>
          <w:iCs/>
          <w:sz w:val="18"/>
          <w:szCs w:val="18"/>
          <w:u w:val="single"/>
        </w:rPr>
        <w:t>la naissance des droits de l’homme</w:t>
      </w:r>
      <w:r w:rsidRPr="00F04F9A">
        <w:rPr>
          <w:rStyle w:val="reference-text"/>
          <w:b/>
          <w:bCs/>
          <w:i/>
          <w:iCs/>
          <w:sz w:val="18"/>
          <w:szCs w:val="18"/>
        </w:rPr>
        <w:t xml:space="preserve">, d’un nouvel ordre institutionnel, économique, social et juridique. Elle place sur le devant de la scène un personnage jusque-là effacé dans le débat politique : </w:t>
      </w:r>
      <w:r w:rsidRPr="00F04F9A">
        <w:rPr>
          <w:rStyle w:val="reference-text"/>
          <w:b/>
          <w:bCs/>
          <w:i/>
          <w:iCs/>
          <w:sz w:val="18"/>
          <w:szCs w:val="18"/>
          <w:u w:val="single"/>
        </w:rPr>
        <w:t>le peuple</w:t>
      </w:r>
      <w:r w:rsidRPr="00F04F9A">
        <w:rPr>
          <w:rStyle w:val="reference-text"/>
          <w:b/>
          <w:bCs/>
          <w:i/>
          <w:iCs/>
          <w:sz w:val="18"/>
          <w:szCs w:val="18"/>
        </w:rPr>
        <w:t xml:space="preserve">. </w:t>
      </w:r>
      <w:r w:rsidRPr="00F04F9A">
        <w:rPr>
          <w:rStyle w:val="reference-text"/>
          <w:b/>
          <w:bCs/>
          <w:i/>
          <w:iCs/>
          <w:sz w:val="18"/>
          <w:szCs w:val="18"/>
          <w:u w:val="single"/>
        </w:rPr>
        <w:t xml:space="preserve">Elle laisse des traces profondes non seulement dans les dispositions législatives </w:t>
      </w:r>
      <w:r w:rsidRPr="00F04F9A">
        <w:rPr>
          <w:rStyle w:val="reference-text"/>
          <w:b/>
          <w:bCs/>
          <w:i/>
          <w:iCs/>
          <w:sz w:val="18"/>
          <w:szCs w:val="18"/>
        </w:rPr>
        <w:t>ou l’organisation administrative, mais aussi dans les gestes les plus anodins de la vie quotidienne : songeons au bouleversement engendré par la généralisation du système métrique ou du papier-monnaie</w:t>
      </w:r>
      <w:proofErr w:type="gramStart"/>
      <w:r w:rsidRPr="00F04F9A">
        <w:rPr>
          <w:rStyle w:val="reference-text"/>
          <w:b/>
          <w:bCs/>
          <w:i/>
          <w:iCs/>
          <w:sz w:val="18"/>
          <w:szCs w:val="18"/>
        </w:rPr>
        <w:t>.»</w:t>
      </w:r>
      <w:proofErr w:type="gramEnd"/>
      <w:r w:rsidRPr="00F04F9A">
        <w:rPr>
          <w:rStyle w:val="reference-text"/>
          <w:b/>
          <w:bCs/>
          <w:i/>
          <w:iCs/>
          <w:sz w:val="18"/>
          <w:szCs w:val="18"/>
        </w:rPr>
        <w:t xml:space="preserve"> </w:t>
      </w:r>
    </w:p>
    <w:p w14:paraId="29588EB2" w14:textId="77777777" w:rsidR="00793A52" w:rsidRDefault="00793A52" w:rsidP="00793A52">
      <w:pPr>
        <w:spacing w:after="0"/>
        <w:ind w:left="709"/>
      </w:pPr>
    </w:p>
    <w:p w14:paraId="45671084" w14:textId="77777777" w:rsidR="00793A52" w:rsidRPr="004916A7" w:rsidRDefault="00793A52" w:rsidP="00793A52">
      <w:pPr>
        <w:spacing w:after="0"/>
        <w:ind w:left="567"/>
        <w:rPr>
          <w:lang w:val="fr-FR"/>
        </w:rPr>
      </w:pPr>
      <w:r>
        <w:t xml:space="preserve">1795-1799 : </w:t>
      </w:r>
      <w:r>
        <w:tab/>
      </w:r>
      <w:hyperlink r:id="rId12" w:tooltip="Directoire" w:history="1">
        <w:r>
          <w:rPr>
            <w:rStyle w:val="Lienhypertexte"/>
          </w:rPr>
          <w:t>Directoire</w:t>
        </w:r>
      </w:hyperlink>
    </w:p>
    <w:p w14:paraId="1DF1673B" w14:textId="77777777" w:rsidR="00793A52" w:rsidRDefault="00793A52" w:rsidP="00793A52">
      <w:pPr>
        <w:pStyle w:val="Titre2"/>
        <w:spacing w:before="0" w:beforeAutospacing="0" w:after="0" w:afterAutospacing="0"/>
        <w:ind w:left="2127" w:hanging="1557"/>
        <w:contextualSpacing/>
        <w:rPr>
          <w:rFonts w:asciiTheme="minorHAnsi" w:eastAsiaTheme="minorHAnsi" w:hAnsiTheme="minorHAnsi" w:cstheme="minorBidi"/>
          <w:b w:val="0"/>
          <w:bCs w:val="0"/>
          <w:sz w:val="22"/>
          <w:szCs w:val="22"/>
          <w:lang w:val="fr-FR" w:eastAsia="en-US"/>
        </w:rPr>
      </w:pPr>
      <w:r w:rsidRPr="004916A7">
        <w:rPr>
          <w:rFonts w:asciiTheme="minorHAnsi" w:eastAsiaTheme="minorHAnsi" w:hAnsiTheme="minorHAnsi" w:cstheme="minorBidi"/>
          <w:b w:val="0"/>
          <w:bCs w:val="0"/>
          <w:sz w:val="22"/>
          <w:szCs w:val="22"/>
          <w:lang w:val="fr-FR" w:eastAsia="en-US"/>
        </w:rPr>
        <w:t xml:space="preserve">1797 : </w:t>
      </w:r>
      <w:r>
        <w:rPr>
          <w:rFonts w:asciiTheme="minorHAnsi" w:eastAsiaTheme="minorHAnsi" w:hAnsiTheme="minorHAnsi" w:cstheme="minorBidi"/>
          <w:b w:val="0"/>
          <w:bCs w:val="0"/>
          <w:sz w:val="22"/>
          <w:szCs w:val="22"/>
          <w:lang w:val="fr-FR" w:eastAsia="en-US"/>
        </w:rPr>
        <w:tab/>
      </w:r>
      <w:r w:rsidRPr="00CD01DC">
        <w:rPr>
          <w:rFonts w:asciiTheme="minorHAnsi" w:eastAsiaTheme="minorHAnsi" w:hAnsiTheme="minorHAnsi" w:cstheme="minorBidi"/>
          <w:b w:val="0"/>
          <w:bCs w:val="0"/>
          <w:sz w:val="22"/>
          <w:szCs w:val="22"/>
          <w:lang w:eastAsia="en-US"/>
        </w:rPr>
        <w:t>L'empereur du Saint-Empire renonce</w:t>
      </w:r>
      <w:r>
        <w:rPr>
          <w:rFonts w:asciiTheme="minorHAnsi" w:eastAsiaTheme="minorHAnsi" w:hAnsiTheme="minorHAnsi" w:cstheme="minorBidi"/>
          <w:b w:val="0"/>
          <w:bCs w:val="0"/>
          <w:sz w:val="22"/>
          <w:szCs w:val="22"/>
          <w:lang w:eastAsia="en-US"/>
        </w:rPr>
        <w:t xml:space="preserve"> officiellement</w:t>
      </w:r>
      <w:r w:rsidRPr="00CD01DC">
        <w:rPr>
          <w:rFonts w:asciiTheme="minorHAnsi" w:eastAsiaTheme="minorHAnsi" w:hAnsiTheme="minorHAnsi" w:cstheme="minorBidi"/>
          <w:b w:val="0"/>
          <w:bCs w:val="0"/>
          <w:sz w:val="22"/>
          <w:szCs w:val="22"/>
          <w:lang w:eastAsia="en-US"/>
        </w:rPr>
        <w:t xml:space="preserve"> à sa souveraineté sur les Pays-Bas et la cède à la </w:t>
      </w:r>
      <w:r>
        <w:rPr>
          <w:rFonts w:asciiTheme="minorHAnsi" w:eastAsiaTheme="minorHAnsi" w:hAnsiTheme="minorHAnsi" w:cstheme="minorBidi"/>
          <w:b w:val="0"/>
          <w:bCs w:val="0"/>
          <w:sz w:val="22"/>
          <w:szCs w:val="22"/>
          <w:lang w:val="fr-FR" w:eastAsia="en-US"/>
        </w:rPr>
        <w:t>F</w:t>
      </w:r>
      <w:r w:rsidRPr="004916A7">
        <w:rPr>
          <w:rFonts w:asciiTheme="minorHAnsi" w:eastAsiaTheme="minorHAnsi" w:hAnsiTheme="minorHAnsi" w:cstheme="minorBidi"/>
          <w:b w:val="0"/>
          <w:bCs w:val="0"/>
          <w:sz w:val="22"/>
          <w:szCs w:val="22"/>
          <w:lang w:val="fr-FR" w:eastAsia="en-US"/>
        </w:rPr>
        <w:t xml:space="preserve">rance lors du </w:t>
      </w:r>
      <w:hyperlink r:id="rId13" w:tooltip="Traité de Campo-Formio" w:history="1">
        <w:r w:rsidRPr="006202EB">
          <w:rPr>
            <w:rStyle w:val="Lienhypertexte"/>
            <w:rFonts w:asciiTheme="minorHAnsi" w:eastAsiaTheme="minorHAnsi" w:hAnsiTheme="minorHAnsi" w:cstheme="minorBidi"/>
            <w:b w:val="0"/>
            <w:bCs w:val="0"/>
            <w:sz w:val="22"/>
            <w:szCs w:val="22"/>
            <w:lang w:eastAsia="en-US"/>
          </w:rPr>
          <w:t xml:space="preserve">traité de </w:t>
        </w:r>
        <w:proofErr w:type="spellStart"/>
        <w:r w:rsidRPr="006202EB">
          <w:rPr>
            <w:rStyle w:val="Lienhypertexte"/>
            <w:rFonts w:asciiTheme="minorHAnsi" w:eastAsiaTheme="minorHAnsi" w:hAnsiTheme="minorHAnsi" w:cstheme="minorBidi"/>
            <w:b w:val="0"/>
            <w:bCs w:val="0"/>
            <w:sz w:val="22"/>
            <w:szCs w:val="22"/>
            <w:lang w:eastAsia="en-US"/>
          </w:rPr>
          <w:t>Campo-Formio</w:t>
        </w:r>
        <w:proofErr w:type="spellEnd"/>
      </w:hyperlink>
      <w:r w:rsidRPr="003D1DDA">
        <w:rPr>
          <w:rStyle w:val="Lienhypertexte"/>
          <w:sz w:val="20"/>
          <w:szCs w:val="20"/>
          <w:lang w:eastAsia="en-US"/>
        </w:rPr>
        <w:t>,</w:t>
      </w:r>
      <w:r w:rsidRPr="004916A7">
        <w:rPr>
          <w:rFonts w:asciiTheme="minorHAnsi" w:eastAsiaTheme="minorHAnsi" w:hAnsiTheme="minorHAnsi" w:cstheme="minorBidi"/>
          <w:b w:val="0"/>
          <w:bCs w:val="0"/>
          <w:sz w:val="22"/>
          <w:szCs w:val="22"/>
          <w:lang w:val="fr-FR" w:eastAsia="en-US"/>
        </w:rPr>
        <w:t xml:space="preserve"> </w:t>
      </w:r>
      <w:r w:rsidRPr="00C136EF">
        <w:rPr>
          <w:rFonts w:asciiTheme="minorHAnsi" w:eastAsiaTheme="minorHAnsi" w:hAnsiTheme="minorHAnsi" w:cstheme="minorBidi"/>
          <w:b w:val="0"/>
          <w:bCs w:val="0"/>
          <w:sz w:val="22"/>
          <w:szCs w:val="22"/>
          <w:u w:val="single"/>
          <w:lang w:val="fr-FR" w:eastAsia="en-US"/>
        </w:rPr>
        <w:t>les anciens Pays-Bas du Sud font ainsi partie selon le droit international de la République française</w:t>
      </w:r>
      <w:r w:rsidRPr="004916A7">
        <w:rPr>
          <w:rFonts w:asciiTheme="minorHAnsi" w:eastAsiaTheme="minorHAnsi" w:hAnsiTheme="minorHAnsi" w:cstheme="minorBidi"/>
          <w:b w:val="0"/>
          <w:bCs w:val="0"/>
          <w:sz w:val="22"/>
          <w:szCs w:val="22"/>
          <w:lang w:val="fr-FR" w:eastAsia="en-US"/>
        </w:rPr>
        <w:t xml:space="preserve"> et non plus du </w:t>
      </w:r>
      <w:hyperlink r:id="rId14" w:tooltip="Saint-Empire" w:history="1">
        <w:r w:rsidRPr="004916A7">
          <w:rPr>
            <w:rFonts w:asciiTheme="minorHAnsi" w:eastAsiaTheme="minorHAnsi" w:hAnsiTheme="minorHAnsi" w:cstheme="minorBidi"/>
            <w:b w:val="0"/>
            <w:bCs w:val="0"/>
            <w:sz w:val="22"/>
            <w:szCs w:val="22"/>
            <w:lang w:val="fr-FR" w:eastAsia="en-US"/>
          </w:rPr>
          <w:t>Saint-Empire</w:t>
        </w:r>
      </w:hyperlink>
      <w:r w:rsidRPr="004916A7">
        <w:rPr>
          <w:rFonts w:asciiTheme="minorHAnsi" w:eastAsiaTheme="minorHAnsi" w:hAnsiTheme="minorHAnsi" w:cstheme="minorBidi"/>
          <w:b w:val="0"/>
          <w:bCs w:val="0"/>
          <w:sz w:val="22"/>
          <w:szCs w:val="22"/>
          <w:lang w:val="fr-FR" w:eastAsia="en-US"/>
        </w:rPr>
        <w:t>.</w:t>
      </w:r>
    </w:p>
    <w:p w14:paraId="5111FCA7" w14:textId="77777777" w:rsidR="00793A52" w:rsidRDefault="00793A52" w:rsidP="00793A52">
      <w:pPr>
        <w:pStyle w:val="Titre2"/>
        <w:spacing w:before="0" w:beforeAutospacing="0" w:after="0" w:afterAutospacing="0"/>
        <w:ind w:left="567" w:firstLine="284"/>
        <w:rPr>
          <w:rFonts w:asciiTheme="minorHAnsi" w:eastAsiaTheme="minorHAnsi" w:hAnsiTheme="minorHAnsi" w:cstheme="minorBidi"/>
          <w:b w:val="0"/>
          <w:bCs w:val="0"/>
          <w:sz w:val="22"/>
          <w:szCs w:val="22"/>
          <w:lang w:val="fr-FR" w:eastAsia="en-US"/>
        </w:rPr>
      </w:pPr>
    </w:p>
    <w:p w14:paraId="3A1671AD" w14:textId="77777777" w:rsidR="00793A52" w:rsidRDefault="00793A52" w:rsidP="00793A52">
      <w:pPr>
        <w:pStyle w:val="Titre2"/>
        <w:spacing w:before="0" w:beforeAutospacing="0" w:after="0" w:afterAutospacing="0"/>
        <w:ind w:left="851"/>
        <w:rPr>
          <w:rStyle w:val="reference-text"/>
          <w:i/>
          <w:iCs/>
          <w:sz w:val="18"/>
          <w:szCs w:val="18"/>
        </w:rPr>
      </w:pPr>
      <w:r w:rsidRPr="004C444D">
        <w:rPr>
          <w:rStyle w:val="reference-text"/>
          <w:i/>
          <w:iCs/>
          <w:sz w:val="18"/>
          <w:szCs w:val="18"/>
        </w:rPr>
        <w:t>Jules Delhaize, La domination française en Belgique, Bruxelles, 1909, tome III, p. 171 :</w:t>
      </w:r>
      <w:proofErr w:type="gramStart"/>
      <w:r w:rsidRPr="004C444D">
        <w:rPr>
          <w:rStyle w:val="reference-text"/>
          <w:i/>
          <w:iCs/>
          <w:sz w:val="18"/>
          <w:szCs w:val="18"/>
        </w:rPr>
        <w:t xml:space="preserve"> «Les</w:t>
      </w:r>
      <w:proofErr w:type="gramEnd"/>
      <w:r w:rsidRPr="004C444D">
        <w:rPr>
          <w:rStyle w:val="reference-text"/>
          <w:i/>
          <w:iCs/>
          <w:sz w:val="18"/>
          <w:szCs w:val="18"/>
        </w:rPr>
        <w:t xml:space="preserve"> articles 3 et 4 du traité de </w:t>
      </w:r>
      <w:proofErr w:type="spellStart"/>
      <w:r w:rsidRPr="004C444D">
        <w:rPr>
          <w:rStyle w:val="reference-text"/>
          <w:i/>
          <w:iCs/>
          <w:sz w:val="18"/>
          <w:szCs w:val="18"/>
        </w:rPr>
        <w:t>Campo-Formio</w:t>
      </w:r>
      <w:proofErr w:type="spellEnd"/>
      <w:r w:rsidRPr="004C444D">
        <w:rPr>
          <w:rStyle w:val="reference-text"/>
          <w:i/>
          <w:iCs/>
          <w:sz w:val="18"/>
          <w:szCs w:val="18"/>
        </w:rPr>
        <w:t xml:space="preserve"> consacrèrent enfin, au point de vue international, la réunion de la Belgique à la France. Voici ces articles. Art. 3 - Sa Majesté l'Empereur, Roi de Hongrie et de Bohême, renonce pour elle et ses successeurs en faveur de la République française, à tous ses droits et titres sur les ci-devant provinces belgiques, connues sous le nom de Pays-Bas autrichiens. La République française possédera ces pays à perpétuité, en toute souveraineté et propriété, et avec tous les biens territoriaux qui en </w:t>
      </w:r>
      <w:proofErr w:type="gramStart"/>
      <w:r w:rsidRPr="004C444D">
        <w:rPr>
          <w:rStyle w:val="reference-text"/>
          <w:i/>
          <w:iCs/>
          <w:sz w:val="18"/>
          <w:szCs w:val="18"/>
        </w:rPr>
        <w:t>dépendent»</w:t>
      </w:r>
      <w:proofErr w:type="gramEnd"/>
      <w:r w:rsidRPr="004C444D">
        <w:rPr>
          <w:rStyle w:val="reference-text"/>
          <w:i/>
          <w:iCs/>
          <w:sz w:val="18"/>
          <w:szCs w:val="18"/>
        </w:rPr>
        <w:t>.</w:t>
      </w:r>
    </w:p>
    <w:p w14:paraId="0A13DFFB" w14:textId="77777777" w:rsidR="00793A52" w:rsidRPr="004C444D" w:rsidRDefault="00793A52" w:rsidP="00793A52">
      <w:pPr>
        <w:pStyle w:val="Titre2"/>
        <w:spacing w:before="0" w:beforeAutospacing="0" w:after="0" w:afterAutospacing="0"/>
        <w:ind w:left="567" w:firstLine="284"/>
        <w:rPr>
          <w:rFonts w:asciiTheme="minorHAnsi" w:eastAsiaTheme="minorHAnsi" w:hAnsiTheme="minorHAnsi" w:cstheme="minorBidi"/>
          <w:b w:val="0"/>
          <w:bCs w:val="0"/>
          <w:i/>
          <w:iCs/>
          <w:sz w:val="18"/>
          <w:szCs w:val="18"/>
          <w:lang w:val="fr-FR" w:eastAsia="en-US"/>
        </w:rPr>
      </w:pPr>
    </w:p>
    <w:p w14:paraId="37844367" w14:textId="77777777" w:rsidR="00793A52" w:rsidRDefault="00793A52" w:rsidP="00793A52">
      <w:pPr>
        <w:spacing w:after="0"/>
        <w:ind w:left="567"/>
      </w:pPr>
      <w:r>
        <w:t xml:space="preserve">1799-1805 : </w:t>
      </w:r>
      <w:r>
        <w:tab/>
      </w:r>
      <w:hyperlink r:id="rId15" w:history="1">
        <w:r>
          <w:rPr>
            <w:rStyle w:val="Lienhypertexte"/>
          </w:rPr>
          <w:t>Consulat</w:t>
        </w:r>
      </w:hyperlink>
      <w:r>
        <w:t xml:space="preserve"> </w:t>
      </w:r>
    </w:p>
    <w:p w14:paraId="681A8821" w14:textId="77777777" w:rsidR="00793A52" w:rsidRDefault="00793A52" w:rsidP="00793A52">
      <w:pPr>
        <w:spacing w:after="0"/>
        <w:ind w:left="567"/>
      </w:pPr>
      <w:r>
        <w:t xml:space="preserve">1805-1814 : </w:t>
      </w:r>
      <w:r>
        <w:tab/>
      </w:r>
      <w:hyperlink r:id="rId16" w:history="1">
        <w:r>
          <w:rPr>
            <w:rStyle w:val="Lienhypertexte"/>
          </w:rPr>
          <w:t>Premier Empire</w:t>
        </w:r>
      </w:hyperlink>
    </w:p>
    <w:p w14:paraId="5CE53F4A" w14:textId="77777777" w:rsidR="00793A52" w:rsidRPr="004916A7" w:rsidRDefault="00793A52" w:rsidP="00793A52">
      <w:pPr>
        <w:pStyle w:val="Titre2"/>
        <w:spacing w:before="0" w:beforeAutospacing="0" w:after="0" w:afterAutospacing="0"/>
        <w:ind w:left="2124" w:hanging="1557"/>
        <w:rPr>
          <w:rFonts w:asciiTheme="minorHAnsi" w:eastAsiaTheme="minorHAnsi" w:hAnsiTheme="minorHAnsi" w:cstheme="minorBidi"/>
          <w:b w:val="0"/>
          <w:bCs w:val="0"/>
          <w:sz w:val="22"/>
          <w:szCs w:val="22"/>
          <w:lang w:eastAsia="en-US"/>
        </w:rPr>
      </w:pPr>
      <w:r w:rsidRPr="004916A7">
        <w:rPr>
          <w:rFonts w:asciiTheme="minorHAnsi" w:eastAsiaTheme="minorHAnsi" w:hAnsiTheme="minorHAnsi" w:cstheme="minorBidi"/>
          <w:b w:val="0"/>
          <w:bCs w:val="0"/>
          <w:sz w:val="22"/>
          <w:szCs w:val="22"/>
          <w:lang w:eastAsia="en-US"/>
        </w:rPr>
        <w:t xml:space="preserve">1814 : </w:t>
      </w:r>
      <w:r>
        <w:rPr>
          <w:rFonts w:asciiTheme="minorHAnsi" w:eastAsiaTheme="minorHAnsi" w:hAnsiTheme="minorHAnsi" w:cstheme="minorBidi"/>
          <w:b w:val="0"/>
          <w:bCs w:val="0"/>
          <w:sz w:val="22"/>
          <w:szCs w:val="22"/>
          <w:lang w:eastAsia="en-US"/>
        </w:rPr>
        <w:tab/>
      </w:r>
      <w:r w:rsidRPr="004916A7">
        <w:rPr>
          <w:rFonts w:asciiTheme="minorHAnsi" w:eastAsiaTheme="minorHAnsi" w:hAnsiTheme="minorHAnsi" w:cstheme="minorBidi"/>
          <w:b w:val="0"/>
          <w:bCs w:val="0"/>
          <w:sz w:val="22"/>
          <w:szCs w:val="22"/>
          <w:lang w:eastAsia="en-US"/>
        </w:rPr>
        <w:t xml:space="preserve">Chute de l'Empire, la Belgique est mise sous tutelle des Alliés puis, en 1815, intégrée au </w:t>
      </w:r>
      <w:hyperlink r:id="rId17" w:history="1">
        <w:r w:rsidRPr="006202EB">
          <w:rPr>
            <w:rStyle w:val="Lienhypertexte"/>
            <w:rFonts w:asciiTheme="minorHAnsi" w:eastAsiaTheme="minorHAnsi" w:hAnsiTheme="minorHAnsi" w:cstheme="minorBidi"/>
            <w:b w:val="0"/>
            <w:bCs w:val="0"/>
            <w:sz w:val="22"/>
            <w:szCs w:val="22"/>
            <w:lang w:eastAsia="en-US"/>
          </w:rPr>
          <w:t>Royaume des Pays-Bas</w:t>
        </w:r>
      </w:hyperlink>
      <w:r w:rsidRPr="004916A7">
        <w:rPr>
          <w:rFonts w:asciiTheme="minorHAnsi" w:eastAsiaTheme="minorHAnsi" w:hAnsiTheme="minorHAnsi" w:cstheme="minorBidi"/>
          <w:b w:val="0"/>
          <w:bCs w:val="0"/>
          <w:sz w:val="22"/>
          <w:szCs w:val="22"/>
          <w:lang w:eastAsia="en-US"/>
        </w:rPr>
        <w:t xml:space="preserve"> pour reconstituer l'unité perdue des anciens Pays-Bas</w:t>
      </w:r>
    </w:p>
    <w:p w14:paraId="61B9E9E6" w14:textId="77777777" w:rsidR="00793A52" w:rsidRDefault="00793A52" w:rsidP="00793A52">
      <w:pPr>
        <w:pStyle w:val="Titre2"/>
        <w:spacing w:before="0" w:beforeAutospacing="0" w:after="0" w:afterAutospacing="0"/>
        <w:ind w:left="567"/>
        <w:rPr>
          <w:rFonts w:asciiTheme="minorHAnsi" w:eastAsiaTheme="minorHAnsi" w:hAnsiTheme="minorHAnsi" w:cstheme="minorBidi"/>
          <w:b w:val="0"/>
          <w:bCs w:val="0"/>
          <w:sz w:val="22"/>
          <w:szCs w:val="22"/>
          <w:lang w:val="fr-FR" w:eastAsia="en-US"/>
        </w:rPr>
      </w:pPr>
      <w:r w:rsidRPr="006202EB">
        <w:rPr>
          <w:rFonts w:asciiTheme="minorHAnsi" w:eastAsiaTheme="minorHAnsi" w:hAnsiTheme="minorHAnsi" w:cstheme="minorBidi"/>
          <w:b w:val="0"/>
          <w:bCs w:val="0"/>
          <w:sz w:val="22"/>
          <w:szCs w:val="22"/>
          <w:lang w:val="fr-FR" w:eastAsia="en-US"/>
        </w:rPr>
        <w:t>1815-1830</w:t>
      </w:r>
      <w:r>
        <w:rPr>
          <w:rFonts w:asciiTheme="minorHAnsi" w:eastAsiaTheme="minorHAnsi" w:hAnsiTheme="minorHAnsi" w:cstheme="minorBidi"/>
          <w:b w:val="0"/>
          <w:bCs w:val="0"/>
          <w:sz w:val="22"/>
          <w:szCs w:val="22"/>
          <w:lang w:val="fr-FR" w:eastAsia="en-US"/>
        </w:rPr>
        <w:t> :</w:t>
      </w:r>
      <w:r w:rsidRPr="006202EB">
        <w:rPr>
          <w:rFonts w:asciiTheme="minorHAnsi" w:eastAsiaTheme="minorHAnsi" w:hAnsiTheme="minorHAnsi" w:cstheme="minorBidi"/>
          <w:b w:val="0"/>
          <w:bCs w:val="0"/>
          <w:sz w:val="22"/>
          <w:szCs w:val="22"/>
          <w:lang w:val="fr-FR" w:eastAsia="en-US"/>
        </w:rPr>
        <w:t xml:space="preserve"> </w:t>
      </w:r>
      <w:r>
        <w:rPr>
          <w:rFonts w:asciiTheme="minorHAnsi" w:eastAsiaTheme="minorHAnsi" w:hAnsiTheme="minorHAnsi" w:cstheme="minorBidi"/>
          <w:b w:val="0"/>
          <w:bCs w:val="0"/>
          <w:sz w:val="22"/>
          <w:szCs w:val="22"/>
          <w:lang w:val="fr-FR" w:eastAsia="en-US"/>
        </w:rPr>
        <w:tab/>
      </w:r>
      <w:r w:rsidRPr="006202EB">
        <w:rPr>
          <w:rFonts w:asciiTheme="minorHAnsi" w:eastAsiaTheme="minorHAnsi" w:hAnsiTheme="minorHAnsi" w:cstheme="minorBidi"/>
          <w:b w:val="0"/>
          <w:bCs w:val="0"/>
          <w:sz w:val="22"/>
          <w:szCs w:val="22"/>
          <w:lang w:val="fr-FR" w:eastAsia="en-US"/>
        </w:rPr>
        <w:t>Le Royaume-Uni des Pays-Bas</w:t>
      </w:r>
    </w:p>
    <w:p w14:paraId="344F0B99" w14:textId="77777777" w:rsidR="00793A52" w:rsidRDefault="00793A52" w:rsidP="00793A52">
      <w:pPr>
        <w:pStyle w:val="Titre2"/>
        <w:spacing w:before="0" w:beforeAutospacing="0" w:after="0" w:afterAutospacing="0"/>
        <w:ind w:left="567"/>
        <w:rPr>
          <w:rFonts w:asciiTheme="minorHAnsi" w:eastAsiaTheme="minorHAnsi" w:hAnsiTheme="minorHAnsi" w:cstheme="minorBidi"/>
          <w:b w:val="0"/>
          <w:bCs w:val="0"/>
          <w:sz w:val="22"/>
          <w:szCs w:val="22"/>
          <w:lang w:val="fr-FR" w:eastAsia="en-US"/>
        </w:rPr>
      </w:pPr>
      <w:r>
        <w:rPr>
          <w:rFonts w:asciiTheme="minorHAnsi" w:eastAsiaTheme="minorHAnsi" w:hAnsiTheme="minorHAnsi" w:cstheme="minorBidi"/>
          <w:b w:val="0"/>
          <w:bCs w:val="0"/>
          <w:sz w:val="22"/>
          <w:szCs w:val="22"/>
          <w:lang w:val="fr-FR" w:eastAsia="en-US"/>
        </w:rPr>
        <w:t xml:space="preserve">1830 : </w:t>
      </w:r>
      <w:r>
        <w:rPr>
          <w:rFonts w:asciiTheme="minorHAnsi" w:eastAsiaTheme="minorHAnsi" w:hAnsiTheme="minorHAnsi" w:cstheme="minorBidi"/>
          <w:b w:val="0"/>
          <w:bCs w:val="0"/>
          <w:sz w:val="22"/>
          <w:szCs w:val="22"/>
          <w:lang w:val="fr-FR" w:eastAsia="en-US"/>
        </w:rPr>
        <w:tab/>
      </w:r>
      <w:r>
        <w:rPr>
          <w:rFonts w:asciiTheme="minorHAnsi" w:eastAsiaTheme="minorHAnsi" w:hAnsiTheme="minorHAnsi" w:cstheme="minorBidi"/>
          <w:b w:val="0"/>
          <w:bCs w:val="0"/>
          <w:sz w:val="22"/>
          <w:szCs w:val="22"/>
          <w:lang w:val="fr-FR" w:eastAsia="en-US"/>
        </w:rPr>
        <w:tab/>
      </w:r>
      <w:hyperlink r:id="rId18" w:tooltip="Révolution belge" w:history="1">
        <w:r w:rsidRPr="00082817">
          <w:rPr>
            <w:rStyle w:val="Lienhypertexte"/>
            <w:rFonts w:asciiTheme="minorHAnsi" w:eastAsiaTheme="minorHAnsi" w:hAnsiTheme="minorHAnsi" w:cstheme="minorBidi"/>
            <w:b w:val="0"/>
            <w:bCs w:val="0"/>
            <w:sz w:val="22"/>
            <w:szCs w:val="22"/>
            <w:lang w:eastAsia="en-US"/>
          </w:rPr>
          <w:t>Révolution belge</w:t>
        </w:r>
      </w:hyperlink>
      <w:r>
        <w:rPr>
          <w:rFonts w:asciiTheme="minorHAnsi" w:eastAsiaTheme="minorHAnsi" w:hAnsiTheme="minorHAnsi" w:cstheme="minorBidi"/>
          <w:b w:val="0"/>
          <w:bCs w:val="0"/>
          <w:sz w:val="22"/>
          <w:szCs w:val="22"/>
          <w:lang w:val="fr-FR" w:eastAsia="en-US"/>
        </w:rPr>
        <w:t xml:space="preserve"> et Indépendance</w:t>
      </w:r>
    </w:p>
    <w:p w14:paraId="577CCDC3" w14:textId="77777777" w:rsidR="00793A52" w:rsidRDefault="00793A52" w:rsidP="00793A52">
      <w:pPr>
        <w:pStyle w:val="Titre2"/>
        <w:spacing w:before="0" w:beforeAutospacing="0" w:after="0" w:afterAutospacing="0"/>
        <w:ind w:left="2124" w:hanging="1557"/>
        <w:rPr>
          <w:rFonts w:asciiTheme="minorHAnsi" w:eastAsiaTheme="minorHAnsi" w:hAnsiTheme="minorHAnsi" w:cstheme="minorBidi"/>
          <w:b w:val="0"/>
          <w:bCs w:val="0"/>
          <w:sz w:val="22"/>
          <w:szCs w:val="22"/>
          <w:lang w:val="fr-FR" w:eastAsia="en-US"/>
        </w:rPr>
      </w:pPr>
      <w:r>
        <w:rPr>
          <w:rFonts w:asciiTheme="minorHAnsi" w:eastAsiaTheme="minorHAnsi" w:hAnsiTheme="minorHAnsi" w:cstheme="minorBidi"/>
          <w:b w:val="0"/>
          <w:bCs w:val="0"/>
          <w:sz w:val="22"/>
          <w:szCs w:val="22"/>
          <w:lang w:val="fr-FR" w:eastAsia="en-US"/>
        </w:rPr>
        <w:t xml:space="preserve">1831 : </w:t>
      </w:r>
      <w:r>
        <w:rPr>
          <w:rFonts w:asciiTheme="minorHAnsi" w:eastAsiaTheme="minorHAnsi" w:hAnsiTheme="minorHAnsi" w:cstheme="minorBidi"/>
          <w:b w:val="0"/>
          <w:bCs w:val="0"/>
          <w:sz w:val="22"/>
          <w:szCs w:val="22"/>
          <w:lang w:val="fr-FR" w:eastAsia="en-US"/>
        </w:rPr>
        <w:tab/>
        <w:t xml:space="preserve">Constitution Belge est signée, </w:t>
      </w:r>
      <w:r w:rsidRPr="003D1DDA">
        <w:rPr>
          <w:rFonts w:asciiTheme="minorHAnsi" w:eastAsiaTheme="minorHAnsi" w:hAnsiTheme="minorHAnsi" w:cstheme="minorBidi"/>
          <w:b w:val="0"/>
          <w:bCs w:val="0"/>
          <w:sz w:val="22"/>
          <w:szCs w:val="22"/>
          <w:lang w:val="fr-FR" w:eastAsia="en-US"/>
        </w:rPr>
        <w:t>c'est le prince allemand Léopold de Saxe-Cobourg-Gotha</w:t>
      </w:r>
      <w:r>
        <w:rPr>
          <w:rFonts w:asciiTheme="minorHAnsi" w:eastAsiaTheme="minorHAnsi" w:hAnsiTheme="minorHAnsi" w:cstheme="minorBidi"/>
          <w:b w:val="0"/>
          <w:bCs w:val="0"/>
          <w:sz w:val="22"/>
          <w:szCs w:val="22"/>
          <w:lang w:val="fr-FR" w:eastAsia="en-US"/>
        </w:rPr>
        <w:t xml:space="preserve"> </w:t>
      </w:r>
      <w:r w:rsidRPr="003D1DDA">
        <w:rPr>
          <w:rFonts w:asciiTheme="minorHAnsi" w:eastAsiaTheme="minorHAnsi" w:hAnsiTheme="minorHAnsi" w:cstheme="minorBidi"/>
          <w:b w:val="0"/>
          <w:bCs w:val="0"/>
          <w:sz w:val="22"/>
          <w:szCs w:val="22"/>
          <w:lang w:val="fr-FR" w:eastAsia="en-US"/>
        </w:rPr>
        <w:t xml:space="preserve">qui devient </w:t>
      </w:r>
      <w:hyperlink r:id="rId19" w:tooltip="Léopold Ier de Belgique" w:history="1">
        <w:r w:rsidRPr="003D1DDA">
          <w:rPr>
            <w:rFonts w:asciiTheme="minorHAnsi" w:eastAsiaTheme="minorHAnsi" w:hAnsiTheme="minorHAnsi" w:cstheme="minorBidi"/>
            <w:b w:val="0"/>
            <w:bCs w:val="0"/>
            <w:sz w:val="22"/>
            <w:szCs w:val="22"/>
            <w:lang w:val="fr-FR" w:eastAsia="en-US"/>
          </w:rPr>
          <w:t>Léopold Ier</w:t>
        </w:r>
      </w:hyperlink>
      <w:r w:rsidRPr="003D1DDA">
        <w:rPr>
          <w:rFonts w:asciiTheme="minorHAnsi" w:eastAsiaTheme="minorHAnsi" w:hAnsiTheme="minorHAnsi" w:cstheme="minorBidi"/>
          <w:b w:val="0"/>
          <w:bCs w:val="0"/>
          <w:sz w:val="22"/>
          <w:szCs w:val="22"/>
          <w:lang w:val="fr-FR" w:eastAsia="en-US"/>
        </w:rPr>
        <w:t xml:space="preserve">, premier </w:t>
      </w:r>
      <w:hyperlink r:id="rId20" w:tooltip="Monarques de Belgique" w:history="1">
        <w:r w:rsidRPr="003D1DDA">
          <w:rPr>
            <w:rFonts w:asciiTheme="minorHAnsi" w:eastAsiaTheme="minorHAnsi" w:hAnsiTheme="minorHAnsi" w:cstheme="minorBidi"/>
            <w:b w:val="0"/>
            <w:bCs w:val="0"/>
            <w:sz w:val="22"/>
            <w:szCs w:val="22"/>
            <w:lang w:val="fr-FR" w:eastAsia="en-US"/>
          </w:rPr>
          <w:t>roi des Belges</w:t>
        </w:r>
      </w:hyperlink>
      <w:r>
        <w:rPr>
          <w:rFonts w:asciiTheme="minorHAnsi" w:eastAsiaTheme="minorHAnsi" w:hAnsiTheme="minorHAnsi" w:cstheme="minorBidi"/>
          <w:b w:val="0"/>
          <w:bCs w:val="0"/>
          <w:sz w:val="22"/>
          <w:szCs w:val="22"/>
          <w:lang w:val="fr-FR" w:eastAsia="en-US"/>
        </w:rPr>
        <w:t xml:space="preserve">. </w:t>
      </w:r>
      <w:r w:rsidRPr="0050513F">
        <w:rPr>
          <w:rFonts w:asciiTheme="minorHAnsi" w:eastAsiaTheme="minorHAnsi" w:hAnsiTheme="minorHAnsi" w:cstheme="minorBidi"/>
          <w:b w:val="0"/>
          <w:bCs w:val="0"/>
          <w:sz w:val="22"/>
          <w:szCs w:val="22"/>
          <w:lang w:val="fr-FR" w:eastAsia="en-US"/>
        </w:rPr>
        <w:t>Il prête serment devant les chambres réunies et le peuple assemblés en la place Royale de Bruxelles, le 21 juillet 1831</w:t>
      </w:r>
      <w:r>
        <w:rPr>
          <w:rFonts w:asciiTheme="minorHAnsi" w:eastAsiaTheme="minorHAnsi" w:hAnsiTheme="minorHAnsi" w:cstheme="minorBidi"/>
          <w:b w:val="0"/>
          <w:bCs w:val="0"/>
          <w:sz w:val="22"/>
          <w:szCs w:val="22"/>
          <w:lang w:val="fr-FR" w:eastAsia="en-US"/>
        </w:rPr>
        <w:t> :</w:t>
      </w:r>
    </w:p>
    <w:p w14:paraId="69EEA23B" w14:textId="77777777" w:rsidR="00793A52" w:rsidRDefault="00793A52" w:rsidP="00793A52">
      <w:pPr>
        <w:pStyle w:val="Titre2"/>
        <w:spacing w:before="0" w:beforeAutospacing="0" w:after="0" w:afterAutospacing="0"/>
        <w:ind w:left="2124" w:hanging="1557"/>
        <w:rPr>
          <w:rFonts w:asciiTheme="minorHAnsi" w:eastAsiaTheme="minorHAnsi" w:hAnsiTheme="minorHAnsi" w:cstheme="minorBidi"/>
          <w:b w:val="0"/>
          <w:bCs w:val="0"/>
          <w:sz w:val="22"/>
          <w:szCs w:val="22"/>
          <w:lang w:val="fr-FR" w:eastAsia="en-US"/>
        </w:rPr>
      </w:pPr>
      <w:r>
        <w:rPr>
          <w:rFonts w:asciiTheme="minorHAnsi" w:eastAsiaTheme="minorHAnsi" w:hAnsiTheme="minorHAnsi" w:cstheme="minorBidi"/>
          <w:b w:val="0"/>
          <w:bCs w:val="0"/>
          <w:sz w:val="22"/>
          <w:szCs w:val="22"/>
          <w:lang w:val="fr-FR" w:eastAsia="en-US"/>
        </w:rPr>
        <w:tab/>
      </w:r>
      <w:r w:rsidRPr="00A3721E">
        <w:rPr>
          <w:rFonts w:asciiTheme="minorHAnsi" w:eastAsiaTheme="minorHAnsi" w:hAnsiTheme="minorHAnsi" w:cstheme="minorBidi"/>
          <w:b w:val="0"/>
          <w:bCs w:val="0"/>
          <w:i/>
          <w:iCs/>
          <w:sz w:val="18"/>
          <w:szCs w:val="18"/>
          <w:lang w:val="fr-FR" w:eastAsia="en-US"/>
        </w:rPr>
        <w:t>« Je jure d’observer la Constitution et les lois du peuple belge, de maintenir l’indépendance nationale et l’intégrité du territoire. »</w:t>
      </w:r>
    </w:p>
    <w:p w14:paraId="65462709" w14:textId="50999267" w:rsidR="00BC0F88" w:rsidRDefault="00793A52">
      <w:r>
        <w:rPr>
          <w:noProof/>
        </w:rPr>
        <w:lastRenderedPageBreak/>
        <w:drawing>
          <wp:inline distT="0" distB="0" distL="0" distR="0" wp14:anchorId="2E51B5A1" wp14:editId="3A2915F2">
            <wp:extent cx="9555757" cy="6764337"/>
            <wp:effectExtent l="508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9565163" cy="6770995"/>
                    </a:xfrm>
                    <a:prstGeom prst="rect">
                      <a:avLst/>
                    </a:prstGeom>
                    <a:noFill/>
                    <a:ln>
                      <a:noFill/>
                    </a:ln>
                  </pic:spPr>
                </pic:pic>
              </a:graphicData>
            </a:graphic>
          </wp:inline>
        </w:drawing>
      </w:r>
    </w:p>
    <w:sectPr w:rsidR="00BC0F88" w:rsidSect="00793A52">
      <w:pgSz w:w="11906" w:h="16838"/>
      <w:pgMar w:top="709"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B5E83"/>
    <w:multiLevelType w:val="hybridMultilevel"/>
    <w:tmpl w:val="810645D8"/>
    <w:lvl w:ilvl="0" w:tplc="3B34881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734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52"/>
    <w:rsid w:val="00793A52"/>
    <w:rsid w:val="00BC0F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D1C9"/>
  <w15:chartTrackingRefBased/>
  <w15:docId w15:val="{0512C858-3E8F-4308-A46E-330A42E5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52"/>
  </w:style>
  <w:style w:type="paragraph" w:styleId="Titre2">
    <w:name w:val="heading 2"/>
    <w:basedOn w:val="Normal"/>
    <w:link w:val="Titre2Car"/>
    <w:uiPriority w:val="9"/>
    <w:qFormat/>
    <w:rsid w:val="00793A5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3A52"/>
    <w:rPr>
      <w:rFonts w:ascii="Times New Roman" w:eastAsia="Times New Roman" w:hAnsi="Times New Roman" w:cs="Times New Roman"/>
      <w:b/>
      <w:bCs/>
      <w:sz w:val="36"/>
      <w:szCs w:val="36"/>
      <w:lang w:eastAsia="fr-BE"/>
    </w:rPr>
  </w:style>
  <w:style w:type="paragraph" w:styleId="Paragraphedeliste">
    <w:name w:val="List Paragraph"/>
    <w:basedOn w:val="Normal"/>
    <w:uiPriority w:val="34"/>
    <w:qFormat/>
    <w:rsid w:val="00793A52"/>
    <w:pPr>
      <w:ind w:left="720"/>
      <w:contextualSpacing/>
    </w:pPr>
  </w:style>
  <w:style w:type="character" w:styleId="Lienhypertexte">
    <w:name w:val="Hyperlink"/>
    <w:basedOn w:val="Policepardfaut"/>
    <w:uiPriority w:val="99"/>
    <w:unhideWhenUsed/>
    <w:rsid w:val="00793A52"/>
    <w:rPr>
      <w:color w:val="0000FF"/>
      <w:u w:val="single"/>
    </w:rPr>
  </w:style>
  <w:style w:type="character" w:customStyle="1" w:styleId="reference-text">
    <w:name w:val="reference-text"/>
    <w:basedOn w:val="Policepardfaut"/>
    <w:rsid w:val="00793A52"/>
  </w:style>
  <w:style w:type="paragraph" w:styleId="NormalWeb">
    <w:name w:val="Normal (Web)"/>
    <w:basedOn w:val="Normal"/>
    <w:uiPriority w:val="99"/>
    <w:unhideWhenUsed/>
    <w:rsid w:val="00793A5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ays-Bas_autrichiens" TargetMode="External"/><Relationship Id="rId13" Type="http://schemas.openxmlformats.org/officeDocument/2006/relationships/hyperlink" Target="https://fr.wikipedia.org/wiki/Trait%C3%A9_de_Campo-Formio" TargetMode="External"/><Relationship Id="rId18" Type="http://schemas.openxmlformats.org/officeDocument/2006/relationships/hyperlink" Target="https://fr.wikipedia.org/wiki/R%C3%A9volution_belge"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fr.wikipedia.org/wiki/Pays-Bas_autrichiens" TargetMode="External"/><Relationship Id="rId12" Type="http://schemas.openxmlformats.org/officeDocument/2006/relationships/hyperlink" Target="https://fr.wikipedia.org/wiki/Directoire" TargetMode="External"/><Relationship Id="rId17" Type="http://schemas.openxmlformats.org/officeDocument/2006/relationships/hyperlink" Target="https://fr.wikipedia.org/wiki/Royaume_des_Pays-Bas_(1815-1830)" TargetMode="External"/><Relationship Id="rId2" Type="http://schemas.openxmlformats.org/officeDocument/2006/relationships/styles" Target="styles.xml"/><Relationship Id="rId16" Type="http://schemas.openxmlformats.org/officeDocument/2006/relationships/hyperlink" Target="https://fr.wikipedia.org/wiki/Premier_Empire" TargetMode="External"/><Relationship Id="rId20" Type="http://schemas.openxmlformats.org/officeDocument/2006/relationships/hyperlink" Target="https://fr.wikipedia.org/wiki/Monarques_de_Belgique" TargetMode="External"/><Relationship Id="rId1" Type="http://schemas.openxmlformats.org/officeDocument/2006/relationships/numbering" Target="numbering.xml"/><Relationship Id="rId6" Type="http://schemas.openxmlformats.org/officeDocument/2006/relationships/hyperlink" Target="https://fr.wikipedia.org/wiki/Pays-Bas_espagnols" TargetMode="External"/><Relationship Id="rId11" Type="http://schemas.openxmlformats.org/officeDocument/2006/relationships/hyperlink" Target="https://fr.wikipedia.org/wiki/Belgique" TargetMode="External"/><Relationship Id="rId5" Type="http://schemas.openxmlformats.org/officeDocument/2006/relationships/hyperlink" Target="https://fr.wikipedia.org/wiki/Histoire_de_la_Belgique" TargetMode="External"/><Relationship Id="rId15" Type="http://schemas.openxmlformats.org/officeDocument/2006/relationships/hyperlink" Target="https://fr.wikipedia.org/wiki/Consulat_(histoire_de_France)" TargetMode="External"/><Relationship Id="rId23" Type="http://schemas.openxmlformats.org/officeDocument/2006/relationships/theme" Target="theme/theme1.xml"/><Relationship Id="rId10" Type="http://schemas.openxmlformats.org/officeDocument/2006/relationships/hyperlink" Target="https://fr.wikipedia.org/wiki/P%C3%A9riode_fran%C3%A7aise_de_l%27histoire_de_Belgique" TargetMode="External"/><Relationship Id="rId19" Type="http://schemas.openxmlformats.org/officeDocument/2006/relationships/hyperlink" Target="https://fr.wikipedia.org/wiki/L%C3%A9opold_Ier_de_Belgique" TargetMode="External"/><Relationship Id="rId4" Type="http://schemas.openxmlformats.org/officeDocument/2006/relationships/webSettings" Target="webSettings.xml"/><Relationship Id="rId9" Type="http://schemas.openxmlformats.org/officeDocument/2006/relationships/hyperlink" Target="https://fr.wikipedia.org/wiki/Principaut%C3%A9_de_Li%C3%A8ge" TargetMode="External"/><Relationship Id="rId14" Type="http://schemas.openxmlformats.org/officeDocument/2006/relationships/hyperlink" Target="https://fr.wikipedia.org/wiki/Saint-Empir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873</Words>
  <Characters>4805</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Camping Beaureve</dc:creator>
  <cp:keywords/>
  <dc:description/>
  <cp:lastModifiedBy>Info | Camping Beaureve</cp:lastModifiedBy>
  <cp:revision>1</cp:revision>
  <dcterms:created xsi:type="dcterms:W3CDTF">2022-11-26T18:38:00Z</dcterms:created>
  <dcterms:modified xsi:type="dcterms:W3CDTF">2022-11-26T18:40:00Z</dcterms:modified>
</cp:coreProperties>
</file>